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
        <w:rPr>
          <w:rFonts w:ascii="Times New Roman"/>
          <w:sz w:val="12"/>
        </w:rPr>
      </w:pPr>
    </w:p>
    <w:p>
      <w:pPr>
        <w:spacing w:before="99" w:line="384" w:lineRule="exact"/>
        <w:ind w:left="1704" w:right="2180" w:firstLine="0"/>
        <w:jc w:val="center"/>
        <w:rPr>
          <w:rFonts w:ascii="Times New Roman" w:hAnsi="Times New Roman"/>
          <w:b/>
          <w:sz w:val="32"/>
        </w:rPr>
      </w:pPr>
      <w:r>
        <w:rPr>
          <w:rFonts w:ascii="Verdana" w:hAnsi="Verdana"/>
          <w:b/>
          <w:sz w:val="32"/>
        </w:rPr>
        <w:t xml:space="preserve">TECHNICAL DATA SHEET </w:t>
      </w:r>
      <w:r>
        <w:rPr>
          <w:rFonts w:ascii="Times New Roman" w:hAnsi="Times New Roman"/>
          <w:b/>
          <w:sz w:val="32"/>
        </w:rPr>
        <w:t>®</w:t>
      </w:r>
    </w:p>
    <w:p>
      <w:pPr>
        <w:spacing w:before="0" w:line="431" w:lineRule="exact"/>
        <w:ind w:left="1923" w:right="0" w:firstLine="0"/>
        <w:jc w:val="left"/>
        <w:rPr>
          <w:rFonts w:hint="eastAsia" w:ascii="Microsoft JhengHei" w:eastAsia="宋体"/>
          <w:b/>
          <w:sz w:val="24"/>
          <w:lang w:val="en-US" w:eastAsia="zh-CN"/>
        </w:rPr>
      </w:pPr>
      <w:r>
        <w:rPr>
          <w:rFonts w:ascii="Microsoft JhengHei"/>
          <w:b/>
          <w:sz w:val="24"/>
        </w:rPr>
        <w:t>Epoxy resin WXDIC 105</w:t>
      </w:r>
      <w:r>
        <w:rPr>
          <w:rFonts w:hint="eastAsia" w:ascii="Microsoft JhengHei" w:eastAsia="宋体"/>
          <w:b/>
          <w:sz w:val="24"/>
          <w:lang w:val="en-US" w:eastAsia="zh-CN"/>
        </w:rPr>
        <w:t>0</w:t>
      </w:r>
      <w:bookmarkStart w:id="0" w:name="_GoBack"/>
      <w:bookmarkEnd w:id="0"/>
    </w:p>
    <w:p>
      <w:pPr>
        <w:pStyle w:val="2"/>
        <w:spacing w:line="242" w:lineRule="auto"/>
        <w:ind w:left="100" w:right="842" w:firstLine="240"/>
      </w:pPr>
      <w:r>
        <w:t>WXDIC 1050 is A low molecular weight solid epoxy resin prepared by the reaction of liquid epoxy resin and bisphenol A.</w:t>
      </w:r>
    </w:p>
    <w:p>
      <w:pPr>
        <w:pStyle w:val="2"/>
        <w:spacing w:before="1"/>
      </w:pPr>
    </w:p>
    <w:p>
      <w:pPr>
        <w:pStyle w:val="2"/>
        <w:ind w:left="220"/>
      </w:pPr>
      <w:r>
        <w:t>Introduction</w:t>
      </w:r>
    </w:p>
    <w:p>
      <w:pPr>
        <w:pStyle w:val="2"/>
        <w:spacing w:before="7" w:line="242" w:lineRule="auto"/>
        <w:ind w:left="700"/>
      </w:pPr>
      <w:r>
        <w:t xml:space="preserve">WXDIC 1050 epoxy resin is A bisphenol A type of medium molecular weight solid epoxy resin, can be used for polyamine, polyamide as curing agent of room temperature curing coatings and two-component baking coatings.Its </w:t>
      </w:r>
      <w:r>
        <w:rPr>
          <w:spacing w:val="-8"/>
        </w:rPr>
        <w:t xml:space="preserve">curing </w:t>
      </w:r>
      <w:r>
        <w:rPr>
          <w:spacing w:val="-7"/>
        </w:rPr>
        <w:t xml:space="preserve">film </w:t>
      </w:r>
      <w:r>
        <w:rPr>
          <w:spacing w:val="-3"/>
        </w:rPr>
        <w:t xml:space="preserve">of </w:t>
      </w:r>
      <w:r>
        <w:rPr>
          <w:spacing w:val="-8"/>
        </w:rPr>
        <w:t xml:space="preserve">water </w:t>
      </w:r>
      <w:r>
        <w:rPr>
          <w:spacing w:val="-9"/>
        </w:rPr>
        <w:t xml:space="preserve">resistance, </w:t>
      </w:r>
      <w:r>
        <w:rPr>
          <w:spacing w:val="-7"/>
        </w:rPr>
        <w:t xml:space="preserve">drug </w:t>
      </w:r>
      <w:r>
        <w:rPr>
          <w:spacing w:val="-9"/>
        </w:rPr>
        <w:t xml:space="preserve">resistance, excellent adhesion, </w:t>
      </w:r>
      <w:r>
        <w:rPr>
          <w:spacing w:val="-8"/>
        </w:rPr>
        <w:t xml:space="preserve">widely </w:t>
      </w:r>
      <w:r>
        <w:rPr>
          <w:spacing w:val="-7"/>
        </w:rPr>
        <w:t xml:space="preserve">used </w:t>
      </w:r>
      <w:r>
        <w:rPr>
          <w:spacing w:val="-4"/>
        </w:rPr>
        <w:t xml:space="preserve">in </w:t>
      </w:r>
      <w:r>
        <w:rPr>
          <w:spacing w:val="-8"/>
        </w:rPr>
        <w:t xml:space="preserve">ships, Bridges, coastal </w:t>
      </w:r>
      <w:r>
        <w:rPr>
          <w:spacing w:val="-9"/>
        </w:rPr>
        <w:t xml:space="preserve">buildings, pipelines, </w:t>
      </w:r>
      <w:r>
        <w:rPr>
          <w:spacing w:val="-8"/>
        </w:rPr>
        <w:t xml:space="preserve">storage </w:t>
      </w:r>
      <w:r>
        <w:rPr>
          <w:spacing w:val="-7"/>
        </w:rPr>
        <w:t xml:space="preserve">tank </w:t>
      </w:r>
      <w:r>
        <w:rPr>
          <w:spacing w:val="-8"/>
        </w:rPr>
        <w:t xml:space="preserve">lining </w:t>
      </w:r>
      <w:r>
        <w:rPr>
          <w:spacing w:val="-5"/>
        </w:rPr>
        <w:t xml:space="preserve">and </w:t>
      </w:r>
      <w:r>
        <w:rPr>
          <w:spacing w:val="-8"/>
        </w:rPr>
        <w:t xml:space="preserve">other </w:t>
      </w:r>
      <w:r>
        <w:rPr>
          <w:spacing w:val="-7"/>
        </w:rPr>
        <w:t xml:space="preserve">anti- </w:t>
      </w:r>
      <w:r>
        <w:rPr>
          <w:spacing w:val="-9"/>
        </w:rPr>
        <w:t xml:space="preserve">corrosion </w:t>
      </w:r>
      <w:r>
        <w:rPr>
          <w:spacing w:val="-8"/>
        </w:rPr>
        <w:t>fields.</w:t>
      </w:r>
    </w:p>
    <w:p>
      <w:pPr>
        <w:pStyle w:val="2"/>
        <w:spacing w:before="1" w:line="244" w:lineRule="auto"/>
        <w:ind w:left="700" w:right="141"/>
      </w:pPr>
      <w:r>
        <w:t>1050 can also be added in a small amount of heat curing acrylic resin, amino alkyd resin as a modified material for baking coatings.The addition of epoxy resin can enhance the adhesion, corrosion resistance and other properties of this kind of coating, so that it can be used as high-grade surface coating for automobiles, household appliances, etc.</w:t>
      </w:r>
    </w:p>
    <w:p>
      <w:pPr>
        <w:pStyle w:val="2"/>
        <w:spacing w:before="9"/>
        <w:rPr>
          <w:sz w:val="23"/>
        </w:rPr>
      </w:pPr>
    </w:p>
    <w:p>
      <w:pPr>
        <w:pStyle w:val="2"/>
        <w:ind w:left="220"/>
      </w:pPr>
      <w:r>
        <w:t>Typical applications</w:t>
      </w:r>
    </w:p>
    <w:p>
      <w:pPr>
        <w:pStyle w:val="2"/>
        <w:spacing w:before="5"/>
        <w:ind w:left="700"/>
      </w:pPr>
      <w:r>
        <w:t>This product is mainly suitable for the following occasions:</w:t>
      </w:r>
    </w:p>
    <w:p>
      <w:pPr>
        <w:pStyle w:val="6"/>
        <w:numPr>
          <w:ilvl w:val="0"/>
          <w:numId w:val="1"/>
        </w:numPr>
        <w:tabs>
          <w:tab w:val="left" w:pos="967"/>
        </w:tabs>
        <w:spacing w:before="1" w:after="0" w:line="240" w:lineRule="auto"/>
        <w:ind w:left="966" w:right="0" w:hanging="267"/>
        <w:jc w:val="left"/>
        <w:rPr>
          <w:sz w:val="24"/>
        </w:rPr>
      </w:pPr>
      <w:r>
        <w:rPr>
          <w:sz w:val="24"/>
        </w:rPr>
        <w:t>General anticorrosion</w:t>
      </w:r>
      <w:r>
        <w:rPr>
          <w:spacing w:val="-14"/>
          <w:sz w:val="24"/>
        </w:rPr>
        <w:t xml:space="preserve"> </w:t>
      </w:r>
      <w:r>
        <w:rPr>
          <w:sz w:val="24"/>
        </w:rPr>
        <w:t>coatings</w:t>
      </w:r>
    </w:p>
    <w:p>
      <w:pPr>
        <w:pStyle w:val="6"/>
        <w:numPr>
          <w:ilvl w:val="0"/>
          <w:numId w:val="1"/>
        </w:numPr>
        <w:tabs>
          <w:tab w:val="left" w:pos="967"/>
        </w:tabs>
        <w:spacing w:before="5" w:after="0" w:line="240" w:lineRule="auto"/>
        <w:ind w:left="966" w:right="0" w:hanging="267"/>
        <w:jc w:val="left"/>
        <w:rPr>
          <w:sz w:val="24"/>
        </w:rPr>
      </w:pPr>
      <w:r>
        <w:rPr>
          <w:sz w:val="24"/>
        </w:rPr>
        <w:t>Drying of the lacquer that</w:t>
      </w:r>
      <w:r>
        <w:rPr>
          <w:spacing w:val="-12"/>
          <w:sz w:val="24"/>
        </w:rPr>
        <w:t xml:space="preserve"> </w:t>
      </w:r>
      <w:r>
        <w:rPr>
          <w:sz w:val="24"/>
        </w:rPr>
        <w:t>bake</w:t>
      </w:r>
    </w:p>
    <w:p>
      <w:pPr>
        <w:pStyle w:val="6"/>
        <w:numPr>
          <w:ilvl w:val="0"/>
          <w:numId w:val="1"/>
        </w:numPr>
        <w:tabs>
          <w:tab w:val="left" w:pos="967"/>
        </w:tabs>
        <w:spacing w:before="4" w:after="0" w:line="240" w:lineRule="auto"/>
        <w:ind w:left="966" w:right="0" w:hanging="267"/>
        <w:jc w:val="left"/>
        <w:rPr>
          <w:sz w:val="24"/>
        </w:rPr>
      </w:pPr>
      <w:r>
        <w:rPr>
          <w:sz w:val="24"/>
        </w:rPr>
        <w:t>Composite</w:t>
      </w:r>
      <w:r>
        <w:rPr>
          <w:spacing w:val="-3"/>
          <w:sz w:val="24"/>
        </w:rPr>
        <w:t xml:space="preserve"> </w:t>
      </w:r>
      <w:r>
        <w:rPr>
          <w:sz w:val="24"/>
        </w:rPr>
        <w:t>materials</w:t>
      </w:r>
    </w:p>
    <w:p>
      <w:pPr>
        <w:pStyle w:val="6"/>
        <w:numPr>
          <w:ilvl w:val="0"/>
          <w:numId w:val="1"/>
        </w:numPr>
        <w:tabs>
          <w:tab w:val="left" w:pos="967"/>
        </w:tabs>
        <w:spacing w:before="7" w:after="0" w:line="240" w:lineRule="auto"/>
        <w:ind w:left="966" w:right="0" w:hanging="267"/>
        <w:jc w:val="left"/>
        <w:rPr>
          <w:sz w:val="24"/>
        </w:rPr>
      </w:pPr>
      <w:r>
        <w:rPr>
          <w:sz w:val="24"/>
        </w:rPr>
        <w:t>Automobile</w:t>
      </w:r>
      <w:r>
        <w:rPr>
          <w:spacing w:val="-1"/>
          <w:sz w:val="24"/>
        </w:rPr>
        <w:t xml:space="preserve"> </w:t>
      </w:r>
      <w:r>
        <w:rPr>
          <w:sz w:val="24"/>
        </w:rPr>
        <w:t>coating</w:t>
      </w:r>
    </w:p>
    <w:p>
      <w:pPr>
        <w:pStyle w:val="6"/>
        <w:numPr>
          <w:ilvl w:val="0"/>
          <w:numId w:val="1"/>
        </w:numPr>
        <w:tabs>
          <w:tab w:val="left" w:pos="967"/>
        </w:tabs>
        <w:spacing w:before="1" w:after="0" w:line="240" w:lineRule="auto"/>
        <w:ind w:left="966" w:right="0" w:hanging="267"/>
        <w:jc w:val="left"/>
        <w:rPr>
          <w:sz w:val="24"/>
        </w:rPr>
      </w:pPr>
      <w:r>
        <w:rPr>
          <w:sz w:val="24"/>
        </w:rPr>
        <w:t>Heavy anticorrosive coatings for</w:t>
      </w:r>
      <w:r>
        <w:rPr>
          <w:spacing w:val="-1"/>
          <w:sz w:val="24"/>
        </w:rPr>
        <w:t xml:space="preserve"> </w:t>
      </w:r>
      <w:r>
        <w:rPr>
          <w:sz w:val="24"/>
        </w:rPr>
        <w:t>ships</w:t>
      </w:r>
    </w:p>
    <w:p>
      <w:pPr>
        <w:pStyle w:val="6"/>
        <w:numPr>
          <w:ilvl w:val="0"/>
          <w:numId w:val="1"/>
        </w:numPr>
        <w:tabs>
          <w:tab w:val="left" w:pos="967"/>
        </w:tabs>
        <w:spacing w:before="7" w:after="0" w:line="240" w:lineRule="auto"/>
        <w:ind w:left="966" w:right="0" w:hanging="267"/>
        <w:jc w:val="left"/>
        <w:rPr>
          <w:sz w:val="24"/>
        </w:rPr>
      </w:pPr>
      <w:r>
        <w:rPr>
          <w:sz w:val="24"/>
        </w:rPr>
        <w:t>Floor</w:t>
      </w:r>
      <w:r>
        <w:rPr>
          <w:spacing w:val="-2"/>
          <w:sz w:val="24"/>
        </w:rPr>
        <w:t xml:space="preserve"> </w:t>
      </w:r>
      <w:r>
        <w:rPr>
          <w:sz w:val="24"/>
        </w:rPr>
        <w:t>coating</w:t>
      </w:r>
    </w:p>
    <w:p>
      <w:pPr>
        <w:pStyle w:val="6"/>
        <w:numPr>
          <w:ilvl w:val="0"/>
          <w:numId w:val="1"/>
        </w:numPr>
        <w:tabs>
          <w:tab w:val="left" w:pos="967"/>
        </w:tabs>
        <w:spacing w:before="4" w:after="0" w:line="240" w:lineRule="auto"/>
        <w:ind w:left="966" w:right="0" w:hanging="267"/>
        <w:jc w:val="left"/>
        <w:rPr>
          <w:sz w:val="24"/>
        </w:rPr>
      </w:pPr>
      <w:r>
        <w:rPr>
          <w:sz w:val="24"/>
        </w:rPr>
        <w:t>Powder</w:t>
      </w:r>
      <w:r>
        <w:rPr>
          <w:spacing w:val="-2"/>
          <w:sz w:val="24"/>
        </w:rPr>
        <w:t xml:space="preserve"> </w:t>
      </w:r>
      <w:r>
        <w:rPr>
          <w:sz w:val="24"/>
        </w:rPr>
        <w:t>coating</w:t>
      </w:r>
    </w:p>
    <w:p>
      <w:pPr>
        <w:pStyle w:val="6"/>
        <w:numPr>
          <w:ilvl w:val="0"/>
          <w:numId w:val="1"/>
        </w:numPr>
        <w:tabs>
          <w:tab w:val="left" w:pos="967"/>
        </w:tabs>
        <w:spacing w:before="4" w:after="0" w:line="487" w:lineRule="auto"/>
        <w:ind w:left="220" w:right="6127" w:firstLine="480"/>
        <w:jc w:val="left"/>
        <w:rPr>
          <w:sz w:val="24"/>
        </w:rPr>
      </w:pPr>
      <w:r>
        <w:pict>
          <v:shape id="_x0000_s1026" o:spid="_x0000_s1026" o:spt="202" type="#_x0000_t202" style="position:absolute;left:0pt;margin-left:109.8pt;margin-top:43pt;height:115.95pt;width:359.35pt;mso-position-horizontal-relative:page;z-index:251658240;mso-width-relative:page;mso-height-relative:page;" filled="f" stroked="f" coordsize="21600,21600">
            <v:path/>
            <v:fill on="f" focussize="0,0"/>
            <v:stroke on="f"/>
            <v:imagedata o:title=""/>
            <o:lock v:ext="edit"/>
            <v:textbox inset="0mm,0mm,0mm,0mm">
              <w:txbxContent>
                <w:tbl>
                  <w:tblPr>
                    <w:tblStyle w:val="3"/>
                    <w:tblW w:w="0" w:type="auto"/>
                    <w:tblInd w:w="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083"/>
                    <w:gridCol w:w="30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5" w:hRule="atLeast"/>
                    </w:trPr>
                    <w:tc>
                      <w:tcPr>
                        <w:tcW w:w="4083" w:type="dxa"/>
                        <w:tcBorders>
                          <w:left w:val="nil"/>
                          <w:right w:val="single" w:color="000000" w:sz="4" w:space="0"/>
                        </w:tcBorders>
                      </w:tcPr>
                      <w:p>
                        <w:pPr>
                          <w:pStyle w:val="7"/>
                          <w:ind w:left="150"/>
                          <w:rPr>
                            <w:sz w:val="24"/>
                          </w:rPr>
                        </w:pPr>
                        <w:r>
                          <w:rPr>
                            <w:sz w:val="24"/>
                          </w:rPr>
                          <w:t>project</w:t>
                        </w:r>
                      </w:p>
                    </w:tc>
                    <w:tc>
                      <w:tcPr>
                        <w:tcW w:w="3060" w:type="dxa"/>
                        <w:tcBorders>
                          <w:left w:val="single" w:color="000000" w:sz="4" w:space="0"/>
                          <w:right w:val="nil"/>
                        </w:tcBorders>
                      </w:tcPr>
                      <w:p>
                        <w:pPr>
                          <w:pStyle w:val="7"/>
                          <w:rPr>
                            <w:sz w:val="24"/>
                          </w:rPr>
                        </w:pPr>
                        <w:r>
                          <w:rPr>
                            <w:sz w:val="24"/>
                          </w:rPr>
                          <w:t>The numerical</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4083" w:type="dxa"/>
                        <w:tcBorders>
                          <w:left w:val="nil"/>
                          <w:bottom w:val="single" w:color="000000" w:sz="4" w:space="0"/>
                          <w:right w:val="single" w:color="000000" w:sz="4" w:space="0"/>
                        </w:tcBorders>
                      </w:tcPr>
                      <w:p>
                        <w:pPr>
                          <w:pStyle w:val="7"/>
                          <w:spacing w:before="11"/>
                          <w:ind w:left="150"/>
                          <w:rPr>
                            <w:sz w:val="24"/>
                          </w:rPr>
                        </w:pPr>
                        <w:r>
                          <w:rPr>
                            <w:sz w:val="24"/>
                          </w:rPr>
                          <w:t>appearance</w:t>
                        </w:r>
                      </w:p>
                    </w:tc>
                    <w:tc>
                      <w:tcPr>
                        <w:tcW w:w="3060" w:type="dxa"/>
                        <w:tcBorders>
                          <w:left w:val="single" w:color="000000" w:sz="4" w:space="0"/>
                          <w:bottom w:val="single" w:color="000000" w:sz="4" w:space="0"/>
                          <w:right w:val="nil"/>
                        </w:tcBorders>
                      </w:tcPr>
                      <w:p>
                        <w:pPr>
                          <w:pStyle w:val="7"/>
                          <w:spacing w:before="11"/>
                          <w:rPr>
                            <w:sz w:val="24"/>
                          </w:rPr>
                        </w:pPr>
                        <w:r>
                          <w:rPr>
                            <w:sz w:val="24"/>
                          </w:rPr>
                          <w:t>Solid, no mechanical</w:t>
                        </w:r>
                      </w:p>
                      <w:p>
                        <w:pPr>
                          <w:pStyle w:val="7"/>
                          <w:spacing w:before="21" w:line="269" w:lineRule="exact"/>
                          <w:rPr>
                            <w:sz w:val="24"/>
                          </w:rPr>
                        </w:pPr>
                        <w:r>
                          <w:rPr>
                            <w:sz w:val="24"/>
                          </w:rPr>
                          <w:t>impurities</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6" w:hRule="atLeast"/>
                    </w:trPr>
                    <w:tc>
                      <w:tcPr>
                        <w:tcW w:w="4083" w:type="dxa"/>
                        <w:tcBorders>
                          <w:top w:val="single" w:color="000000" w:sz="4" w:space="0"/>
                          <w:left w:val="nil"/>
                          <w:bottom w:val="single" w:color="000000" w:sz="2" w:space="0"/>
                          <w:right w:val="single" w:color="000000" w:sz="4" w:space="0"/>
                        </w:tcBorders>
                      </w:tcPr>
                      <w:p>
                        <w:pPr>
                          <w:pStyle w:val="7"/>
                          <w:spacing w:before="17"/>
                          <w:ind w:left="150"/>
                          <w:rPr>
                            <w:sz w:val="24"/>
                          </w:rPr>
                        </w:pPr>
                        <w:r>
                          <w:rPr>
                            <w:sz w:val="24"/>
                          </w:rPr>
                          <w:t>Colour and lustre (Gardner)</w:t>
                        </w:r>
                      </w:p>
                    </w:tc>
                    <w:tc>
                      <w:tcPr>
                        <w:tcW w:w="3060" w:type="dxa"/>
                        <w:tcBorders>
                          <w:top w:val="single" w:color="000000" w:sz="4" w:space="0"/>
                          <w:left w:val="single" w:color="000000" w:sz="4" w:space="0"/>
                          <w:bottom w:val="single" w:color="000000" w:sz="2" w:space="0"/>
                          <w:right w:val="nil"/>
                        </w:tcBorders>
                      </w:tcPr>
                      <w:p>
                        <w:pPr>
                          <w:pStyle w:val="7"/>
                          <w:spacing w:before="96" w:line="210" w:lineRule="exact"/>
                          <w:rPr>
                            <w:sz w:val="24"/>
                          </w:rPr>
                        </w:pPr>
                        <w:r>
                          <w:rPr>
                            <w:sz w:val="24"/>
                          </w:rPr>
                          <w:t>2 the following (1)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4083" w:type="dxa"/>
                        <w:tcBorders>
                          <w:top w:val="single" w:color="000000" w:sz="2" w:space="0"/>
                          <w:left w:val="nil"/>
                          <w:bottom w:val="single" w:color="000000" w:sz="2" w:space="0"/>
                          <w:right w:val="single" w:color="000000" w:sz="4" w:space="0"/>
                        </w:tcBorders>
                      </w:tcPr>
                      <w:p>
                        <w:pPr>
                          <w:pStyle w:val="7"/>
                          <w:spacing w:before="15"/>
                          <w:ind w:left="150"/>
                          <w:rPr>
                            <w:sz w:val="24"/>
                          </w:rPr>
                        </w:pPr>
                        <w:r>
                          <w:rPr>
                            <w:sz w:val="24"/>
                          </w:rPr>
                          <w:t>Epoxy equivalent (g/mol)</w:t>
                        </w:r>
                      </w:p>
                    </w:tc>
                    <w:tc>
                      <w:tcPr>
                        <w:tcW w:w="3060" w:type="dxa"/>
                        <w:tcBorders>
                          <w:top w:val="single" w:color="000000" w:sz="2" w:space="0"/>
                          <w:left w:val="single" w:color="000000" w:sz="4" w:space="0"/>
                          <w:bottom w:val="single" w:color="000000" w:sz="2" w:space="0"/>
                          <w:right w:val="nil"/>
                        </w:tcBorders>
                      </w:tcPr>
                      <w:p>
                        <w:pPr>
                          <w:pStyle w:val="7"/>
                          <w:spacing w:before="22" w:line="281" w:lineRule="exact"/>
                          <w:rPr>
                            <w:sz w:val="24"/>
                          </w:rPr>
                        </w:pPr>
                        <w:r>
                          <w:rPr>
                            <w:sz w:val="24"/>
                          </w:rPr>
                          <w:t>450-500.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4083" w:type="dxa"/>
                        <w:tcBorders>
                          <w:top w:val="single" w:color="000000" w:sz="2" w:space="0"/>
                          <w:left w:val="nil"/>
                          <w:bottom w:val="single" w:color="000000" w:sz="2" w:space="0"/>
                          <w:right w:val="single" w:color="000000" w:sz="4" w:space="0"/>
                        </w:tcBorders>
                      </w:tcPr>
                      <w:p>
                        <w:pPr>
                          <w:pStyle w:val="7"/>
                          <w:ind w:left="150"/>
                          <w:rPr>
                            <w:sz w:val="24"/>
                          </w:rPr>
                        </w:pPr>
                        <w:r>
                          <w:rPr>
                            <w:sz w:val="24"/>
                          </w:rPr>
                          <w:t>Softening point (℃)</w:t>
                        </w:r>
                      </w:p>
                    </w:tc>
                    <w:tc>
                      <w:tcPr>
                        <w:tcW w:w="3060" w:type="dxa"/>
                        <w:tcBorders>
                          <w:top w:val="single" w:color="000000" w:sz="2" w:space="0"/>
                          <w:left w:val="single" w:color="000000" w:sz="4" w:space="0"/>
                          <w:bottom w:val="single" w:color="000000" w:sz="2" w:space="0"/>
                          <w:right w:val="nil"/>
                        </w:tcBorders>
                      </w:tcPr>
                      <w:p>
                        <w:pPr>
                          <w:pStyle w:val="7"/>
                          <w:spacing w:before="23" w:line="280" w:lineRule="exact"/>
                          <w:rPr>
                            <w:sz w:val="24"/>
                          </w:rPr>
                        </w:pPr>
                        <w:r>
                          <w:rPr>
                            <w:sz w:val="24"/>
                          </w:rPr>
                          <w:t>64-74.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3" w:hRule="atLeast"/>
                    </w:trPr>
                    <w:tc>
                      <w:tcPr>
                        <w:tcW w:w="4083" w:type="dxa"/>
                        <w:tcBorders>
                          <w:top w:val="single" w:color="000000" w:sz="2" w:space="0"/>
                          <w:left w:val="nil"/>
                          <w:bottom w:val="single" w:color="000000" w:sz="4" w:space="0"/>
                          <w:right w:val="single" w:color="000000" w:sz="4" w:space="0"/>
                        </w:tcBorders>
                      </w:tcPr>
                      <w:p>
                        <w:pPr>
                          <w:pStyle w:val="7"/>
                          <w:spacing w:before="14"/>
                          <w:ind w:left="150"/>
                          <w:rPr>
                            <w:sz w:val="24"/>
                          </w:rPr>
                        </w:pPr>
                        <w:r>
                          <w:rPr>
                            <w:sz w:val="24"/>
                          </w:rPr>
                          <w:t>Viscosity at 25℃ (Gardner)</w:t>
                        </w:r>
                      </w:p>
                    </w:tc>
                    <w:tc>
                      <w:tcPr>
                        <w:tcW w:w="3060" w:type="dxa"/>
                        <w:tcBorders>
                          <w:top w:val="single" w:color="000000" w:sz="2" w:space="0"/>
                          <w:left w:val="single" w:color="000000" w:sz="4" w:space="0"/>
                          <w:bottom w:val="single" w:color="000000" w:sz="4" w:space="0"/>
                          <w:right w:val="nil"/>
                        </w:tcBorders>
                      </w:tcPr>
                      <w:p>
                        <w:pPr>
                          <w:pStyle w:val="7"/>
                          <w:rPr>
                            <w:sz w:val="24"/>
                          </w:rPr>
                        </w:pPr>
                        <w:r>
                          <w:rPr>
                            <w:sz w:val="24"/>
                          </w:rPr>
                          <w:t>D-F</w:t>
                        </w:r>
                      </w:p>
                    </w:tc>
                  </w:tr>
                </w:tbl>
                <w:p>
                  <w:pPr>
                    <w:pStyle w:val="2"/>
                  </w:pPr>
                </w:p>
              </w:txbxContent>
            </v:textbox>
          </v:shape>
        </w:pict>
      </w:r>
      <w:r>
        <w:rPr>
          <w:sz w:val="24"/>
        </w:rPr>
        <w:t xml:space="preserve">Can use </w:t>
      </w:r>
      <w:r>
        <w:rPr>
          <w:spacing w:val="-3"/>
          <w:sz w:val="24"/>
        </w:rPr>
        <w:t xml:space="preserve">coating </w:t>
      </w:r>
      <w:r>
        <w:rPr>
          <w:sz w:val="24"/>
        </w:rPr>
        <w:t>Typical</w:t>
      </w:r>
      <w:r>
        <w:rPr>
          <w:spacing w:val="-2"/>
          <w:sz w:val="24"/>
        </w:rPr>
        <w:t xml:space="preserve"> </w:t>
      </w:r>
      <w:r>
        <w:rPr>
          <w:sz w:val="24"/>
        </w:rPr>
        <w:t>Features</w:t>
      </w: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spacing w:before="5"/>
        <w:rPr>
          <w:sz w:val="35"/>
        </w:rPr>
      </w:pPr>
    </w:p>
    <w:p>
      <w:pPr>
        <w:spacing w:before="0"/>
        <w:ind w:left="640" w:right="0" w:firstLine="0"/>
        <w:jc w:val="left"/>
        <w:rPr>
          <w:sz w:val="21"/>
        </w:rPr>
      </w:pPr>
      <w:r>
        <w:rPr>
          <w:sz w:val="21"/>
        </w:rPr>
        <w:t>(1) 40% diethylene glycol butyl ether solution</w:t>
      </w:r>
    </w:p>
    <w:p>
      <w:pPr>
        <w:spacing w:after="0"/>
        <w:jc w:val="left"/>
        <w:rPr>
          <w:sz w:val="21"/>
        </w:rPr>
        <w:sectPr>
          <w:headerReference r:id="rId3" w:type="default"/>
          <w:footerReference r:id="rId4" w:type="default"/>
          <w:type w:val="continuous"/>
          <w:pgSz w:w="11910" w:h="16840"/>
          <w:pgMar w:top="2220" w:right="1640" w:bottom="1140" w:left="1580" w:header="1014" w:footer="956" w:gutter="0"/>
          <w:pgNumType w:start="1"/>
        </w:sectPr>
      </w:pPr>
    </w:p>
    <w:p>
      <w:pPr>
        <w:pStyle w:val="2"/>
        <w:rPr>
          <w:sz w:val="20"/>
        </w:rPr>
      </w:pPr>
    </w:p>
    <w:p>
      <w:pPr>
        <w:pStyle w:val="2"/>
        <w:spacing w:before="1"/>
        <w:rPr>
          <w:sz w:val="17"/>
        </w:rPr>
      </w:pPr>
    </w:p>
    <w:p>
      <w:pPr>
        <w:pStyle w:val="2"/>
        <w:spacing w:before="100"/>
        <w:ind w:left="220"/>
        <w:jc w:val="both"/>
      </w:pPr>
      <w:r>
        <w:t>Packaging and storage</w:t>
      </w:r>
    </w:p>
    <w:p>
      <w:pPr>
        <w:pStyle w:val="2"/>
        <w:spacing w:before="5" w:line="242" w:lineRule="auto"/>
        <w:ind w:left="700" w:right="99"/>
        <w:jc w:val="both"/>
      </w:pPr>
      <w:r>
        <w:t xml:space="preserve">WXDIC 1050 solid epoxy resin is available in 25 kg kraft paper bags.This epoxy should be </w:t>
      </w:r>
      <w:r>
        <w:rPr>
          <w:spacing w:val="-3"/>
        </w:rPr>
        <w:t xml:space="preserve">stored </w:t>
      </w:r>
      <w:r>
        <w:t xml:space="preserve">in its original sealed </w:t>
      </w:r>
      <w:r>
        <w:rPr>
          <w:spacing w:val="-3"/>
        </w:rPr>
        <w:t xml:space="preserve">packaging </w:t>
      </w:r>
      <w:r>
        <w:t xml:space="preserve">and in a cool, dry </w:t>
      </w:r>
      <w:r>
        <w:rPr>
          <w:spacing w:val="-5"/>
        </w:rPr>
        <w:t xml:space="preserve">place.The </w:t>
      </w:r>
      <w:r>
        <w:rPr>
          <w:spacing w:val="-13"/>
        </w:rPr>
        <w:t xml:space="preserve">ambient </w:t>
      </w:r>
      <w:r>
        <w:rPr>
          <w:spacing w:val="-14"/>
        </w:rPr>
        <w:t xml:space="preserve">temperature </w:t>
      </w:r>
      <w:r>
        <w:rPr>
          <w:spacing w:val="-7"/>
        </w:rPr>
        <w:t xml:space="preserve">of </w:t>
      </w:r>
      <w:r>
        <w:rPr>
          <w:spacing w:val="-13"/>
        </w:rPr>
        <w:t xml:space="preserve">storage </w:t>
      </w:r>
      <w:r>
        <w:rPr>
          <w:spacing w:val="-12"/>
        </w:rPr>
        <w:t xml:space="preserve">should </w:t>
      </w:r>
      <w:r>
        <w:rPr>
          <w:spacing w:val="-6"/>
        </w:rPr>
        <w:t xml:space="preserve">be </w:t>
      </w:r>
      <w:r>
        <w:rPr>
          <w:spacing w:val="-13"/>
        </w:rPr>
        <w:t xml:space="preserve">10-25℃.Storage </w:t>
      </w:r>
      <w:r>
        <w:rPr>
          <w:spacing w:val="-9"/>
        </w:rPr>
        <w:t xml:space="preserve">should </w:t>
      </w:r>
      <w:r>
        <w:rPr>
          <w:spacing w:val="-4"/>
        </w:rPr>
        <w:t xml:space="preserve">be </w:t>
      </w:r>
      <w:r>
        <w:rPr>
          <w:spacing w:val="-6"/>
        </w:rPr>
        <w:t xml:space="preserve">far </w:t>
      </w:r>
      <w:r>
        <w:rPr>
          <w:spacing w:val="-7"/>
        </w:rPr>
        <w:t xml:space="preserve">away from </w:t>
      </w:r>
      <w:r>
        <w:rPr>
          <w:spacing w:val="-8"/>
        </w:rPr>
        <w:t xml:space="preserve">high </w:t>
      </w:r>
      <w:r>
        <w:rPr>
          <w:spacing w:val="-10"/>
        </w:rPr>
        <w:t xml:space="preserve">temperature </w:t>
      </w:r>
      <w:r>
        <w:rPr>
          <w:spacing w:val="-8"/>
        </w:rPr>
        <w:t xml:space="preserve">fire, avoid </w:t>
      </w:r>
      <w:r>
        <w:rPr>
          <w:spacing w:val="-10"/>
        </w:rPr>
        <w:t xml:space="preserve">sunlight.Under </w:t>
      </w:r>
      <w:r>
        <w:rPr>
          <w:spacing w:val="-6"/>
        </w:rPr>
        <w:t xml:space="preserve">the </w:t>
      </w:r>
      <w:r>
        <w:rPr>
          <w:spacing w:val="-8"/>
        </w:rPr>
        <w:t xml:space="preserve">above </w:t>
      </w:r>
      <w:r>
        <w:rPr>
          <w:spacing w:val="-10"/>
        </w:rPr>
        <w:t xml:space="preserve">conditions, </w:t>
      </w:r>
      <w:r>
        <w:rPr>
          <w:spacing w:val="-6"/>
        </w:rPr>
        <w:t xml:space="preserve">the </w:t>
      </w:r>
      <w:r>
        <w:rPr>
          <w:spacing w:val="-8"/>
        </w:rPr>
        <w:t xml:space="preserve">epoxy </w:t>
      </w:r>
      <w:r>
        <w:rPr>
          <w:spacing w:val="-9"/>
        </w:rPr>
        <w:t xml:space="preserve">resin </w:t>
      </w:r>
      <w:r>
        <w:rPr>
          <w:spacing w:val="-8"/>
        </w:rPr>
        <w:t xml:space="preserve">shall </w:t>
      </w:r>
      <w:r>
        <w:rPr>
          <w:spacing w:val="-9"/>
        </w:rPr>
        <w:t xml:space="preserve">maintain </w:t>
      </w:r>
      <w:r>
        <w:rPr>
          <w:spacing w:val="-7"/>
        </w:rPr>
        <w:t xml:space="preserve">its </w:t>
      </w:r>
      <w:r>
        <w:rPr>
          <w:spacing w:val="-9"/>
        </w:rPr>
        <w:t xml:space="preserve">chemical </w:t>
      </w:r>
      <w:r>
        <w:rPr>
          <w:spacing w:val="-10"/>
        </w:rPr>
        <w:t xml:space="preserve">properties </w:t>
      </w:r>
      <w:r>
        <w:rPr>
          <w:spacing w:val="-6"/>
        </w:rPr>
        <w:t xml:space="preserve">for </w:t>
      </w:r>
      <w:r>
        <w:t xml:space="preserve">a </w:t>
      </w:r>
      <w:r>
        <w:rPr>
          <w:spacing w:val="-9"/>
        </w:rPr>
        <w:t xml:space="preserve">period </w:t>
      </w:r>
      <w:r>
        <w:rPr>
          <w:spacing w:val="-4"/>
        </w:rPr>
        <w:t xml:space="preserve">of at </w:t>
      </w:r>
      <w:r>
        <w:rPr>
          <w:spacing w:val="-8"/>
        </w:rPr>
        <w:t xml:space="preserve">least </w:t>
      </w:r>
      <w:r>
        <w:rPr>
          <w:spacing w:val="-5"/>
        </w:rPr>
        <w:t xml:space="preserve">12 </w:t>
      </w:r>
      <w:r>
        <w:rPr>
          <w:spacing w:val="-9"/>
        </w:rPr>
        <w:t xml:space="preserve">months </w:t>
      </w:r>
      <w:r>
        <w:t xml:space="preserve">fromthedateof </w:t>
      </w:r>
      <w:r>
        <w:rPr>
          <w:spacing w:val="-10"/>
        </w:rPr>
        <w:t>manufacture.</w:t>
      </w:r>
    </w:p>
    <w:p>
      <w:pPr>
        <w:pStyle w:val="2"/>
        <w:spacing w:before="7"/>
      </w:pPr>
    </w:p>
    <w:p>
      <w:pPr>
        <w:pStyle w:val="2"/>
        <w:spacing w:line="242" w:lineRule="auto"/>
        <w:ind w:left="700" w:right="219" w:hanging="480"/>
      </w:pPr>
      <w:r>
        <w:t xml:space="preserve">Safety and disposal </w:t>
      </w:r>
      <w:r>
        <w:rPr>
          <w:spacing w:val="-10"/>
        </w:rPr>
        <w:t xml:space="preserve">Theproductshallbeprocessed,usedanddisposedinaccordancewiththerelevantsafety </w:t>
      </w:r>
      <w:r>
        <w:rPr>
          <w:spacing w:val="-9"/>
        </w:rPr>
        <w:t xml:space="preserve">andhealthlawsandregulationsofthecountryandtheregion.For </w:t>
      </w:r>
      <w:r>
        <w:rPr>
          <w:spacing w:val="5"/>
        </w:rPr>
        <w:t xml:space="preserve">detailed information </w:t>
      </w:r>
      <w:r>
        <w:t xml:space="preserve">on </w:t>
      </w:r>
      <w:r>
        <w:rPr>
          <w:spacing w:val="2"/>
        </w:rPr>
        <w:t xml:space="preserve">the </w:t>
      </w:r>
      <w:r>
        <w:rPr>
          <w:spacing w:val="4"/>
        </w:rPr>
        <w:t xml:space="preserve">safety </w:t>
      </w:r>
      <w:r>
        <w:t xml:space="preserve">of </w:t>
      </w:r>
      <w:r>
        <w:rPr>
          <w:spacing w:val="3"/>
        </w:rPr>
        <w:t xml:space="preserve">this </w:t>
      </w:r>
      <w:r>
        <w:rPr>
          <w:spacing w:val="5"/>
        </w:rPr>
        <w:t xml:space="preserve">product, </w:t>
      </w:r>
      <w:r>
        <w:rPr>
          <w:spacing w:val="4"/>
        </w:rPr>
        <w:t xml:space="preserve">please refer </w:t>
      </w:r>
      <w:r>
        <w:t xml:space="preserve">to </w:t>
      </w:r>
      <w:r>
        <w:rPr>
          <w:spacing w:val="2"/>
        </w:rPr>
        <w:t xml:space="preserve">the </w:t>
      </w:r>
      <w:r>
        <w:rPr>
          <w:spacing w:val="5"/>
        </w:rPr>
        <w:t xml:space="preserve">CORRESPONDING </w:t>
      </w:r>
      <w:r>
        <w:rPr>
          <w:spacing w:val="4"/>
        </w:rPr>
        <w:t xml:space="preserve">MSDS report </w:t>
      </w:r>
      <w:r>
        <w:t xml:space="preserve">of </w:t>
      </w:r>
      <w:r>
        <w:rPr>
          <w:spacing w:val="3"/>
        </w:rPr>
        <w:t xml:space="preserve">this </w:t>
      </w:r>
      <w:r>
        <w:rPr>
          <w:spacing w:val="5"/>
        </w:rPr>
        <w:t>product.</w:t>
      </w:r>
    </w:p>
    <w:p>
      <w:pPr>
        <w:pStyle w:val="2"/>
        <w:rPr>
          <w:sz w:val="28"/>
        </w:rPr>
      </w:pPr>
    </w:p>
    <w:p>
      <w:pPr>
        <w:pStyle w:val="2"/>
        <w:spacing w:before="248"/>
        <w:ind w:left="220"/>
      </w:pPr>
      <w:r>
        <w:t>Contact</w:t>
      </w:r>
    </w:p>
    <w:p>
      <w:pPr>
        <w:pStyle w:val="2"/>
        <w:spacing w:before="2"/>
        <w:ind w:left="700"/>
      </w:pPr>
      <w:r>
        <w:t>Shanghai King Chemical Co,.Ltd</w:t>
      </w:r>
    </w:p>
    <w:p>
      <w:pPr>
        <w:pStyle w:val="2"/>
        <w:spacing w:before="7" w:line="244" w:lineRule="auto"/>
        <w:ind w:left="700" w:right="3354"/>
      </w:pPr>
      <w:r>
        <w:t>Address: ROOM CDEF, 9th Floor, Building D, Weijing Center Tower, NO.2337 GuDai Road, Minhang District, Shanghai, China 201199 Phone:+86-21-67817854</w:t>
      </w:r>
    </w:p>
    <w:p>
      <w:pPr>
        <w:pStyle w:val="2"/>
        <w:spacing w:line="278" w:lineRule="exact"/>
        <w:ind w:left="700"/>
      </w:pPr>
      <w:r>
        <w:t>Fax: + 86-21-67817854</w:t>
      </w:r>
    </w:p>
    <w:p>
      <w:pPr>
        <w:pStyle w:val="2"/>
        <w:spacing w:before="6"/>
        <w:ind w:left="587"/>
      </w:pPr>
      <w:r>
        <w:t xml:space="preserve">Web: </w:t>
      </w:r>
      <w:r>
        <w:fldChar w:fldCharType="begin"/>
      </w:r>
      <w:r>
        <w:instrText xml:space="preserve"> HYPERLINK "http://www.shkingchem.com/" \h </w:instrText>
      </w:r>
      <w:r>
        <w:fldChar w:fldCharType="separate"/>
      </w:r>
      <w:r>
        <w:t xml:space="preserve">http://www.shkingchem.com </w:t>
      </w:r>
      <w:r>
        <w:fldChar w:fldCharType="end"/>
      </w:r>
      <w:r>
        <w:t>|</w:t>
      </w:r>
    </w:p>
    <w:p>
      <w:pPr>
        <w:pStyle w:val="2"/>
        <w:spacing w:before="7"/>
        <w:rPr>
          <w:sz w:val="27"/>
        </w:rPr>
      </w:pPr>
    </w:p>
    <w:p>
      <w:pPr>
        <w:pStyle w:val="2"/>
        <w:ind w:left="220"/>
      </w:pPr>
      <w:r>
        <w:t>Statement</w:t>
      </w:r>
    </w:p>
    <w:p>
      <w:pPr>
        <w:pStyle w:val="2"/>
        <w:spacing w:before="2" w:line="242" w:lineRule="auto"/>
        <w:ind w:left="700" w:right="103"/>
        <w:jc w:val="both"/>
      </w:pPr>
      <w:r>
        <w:rPr>
          <w:spacing w:val="-4"/>
        </w:rPr>
        <w:t xml:space="preserve">The </w:t>
      </w:r>
      <w:r>
        <w:rPr>
          <w:spacing w:val="-6"/>
        </w:rPr>
        <w:t xml:space="preserve">above </w:t>
      </w:r>
      <w:r>
        <w:rPr>
          <w:spacing w:val="-7"/>
        </w:rPr>
        <w:t xml:space="preserve">information </w:t>
      </w:r>
      <w:r>
        <w:rPr>
          <w:spacing w:val="-3"/>
        </w:rPr>
        <w:t xml:space="preserve">is </w:t>
      </w:r>
      <w:r>
        <w:rPr>
          <w:spacing w:val="-6"/>
        </w:rPr>
        <w:t xml:space="preserve">based </w:t>
      </w:r>
      <w:r>
        <w:rPr>
          <w:spacing w:val="-3"/>
        </w:rPr>
        <w:t xml:space="preserve">on </w:t>
      </w:r>
      <w:r>
        <w:rPr>
          <w:spacing w:val="-6"/>
        </w:rPr>
        <w:t xml:space="preserve">reliable </w:t>
      </w:r>
      <w:r>
        <w:rPr>
          <w:spacing w:val="-7"/>
        </w:rPr>
        <w:t xml:space="preserve">data.However, </w:t>
      </w:r>
      <w:r>
        <w:rPr>
          <w:spacing w:val="-5"/>
        </w:rPr>
        <w:t xml:space="preserve">the </w:t>
      </w:r>
      <w:r>
        <w:rPr>
          <w:spacing w:val="-7"/>
        </w:rPr>
        <w:t xml:space="preserve">specific application occasions </w:t>
      </w:r>
      <w:r>
        <w:rPr>
          <w:spacing w:val="-4"/>
        </w:rPr>
        <w:t xml:space="preserve">and </w:t>
      </w:r>
      <w:r>
        <w:rPr>
          <w:spacing w:val="-7"/>
        </w:rPr>
        <w:t xml:space="preserve">application conditions </w:t>
      </w:r>
      <w:r>
        <w:rPr>
          <w:spacing w:val="-4"/>
        </w:rPr>
        <w:t xml:space="preserve">are not </w:t>
      </w:r>
      <w:r>
        <w:rPr>
          <w:spacing w:val="-6"/>
        </w:rPr>
        <w:t xml:space="preserve">within </w:t>
      </w:r>
      <w:r>
        <w:rPr>
          <w:spacing w:val="-4"/>
        </w:rPr>
        <w:t xml:space="preserve">our </w:t>
      </w:r>
      <w:r>
        <w:rPr>
          <w:spacing w:val="-7"/>
        </w:rPr>
        <w:t xml:space="preserve">control. </w:t>
      </w:r>
      <w:r>
        <w:rPr>
          <w:spacing w:val="-4"/>
        </w:rPr>
        <w:t xml:space="preserve">The </w:t>
      </w:r>
      <w:r>
        <w:rPr>
          <w:spacing w:val="-6"/>
        </w:rPr>
        <w:t xml:space="preserve">curing </w:t>
      </w:r>
      <w:r>
        <w:rPr>
          <w:spacing w:val="-7"/>
        </w:rPr>
        <w:t xml:space="preserve">formula </w:t>
      </w:r>
      <w:r>
        <w:rPr>
          <w:spacing w:val="-4"/>
        </w:rPr>
        <w:t xml:space="preserve">and </w:t>
      </w:r>
      <w:r>
        <w:rPr>
          <w:spacing w:val="-6"/>
        </w:rPr>
        <w:t xml:space="preserve">curing </w:t>
      </w:r>
      <w:r>
        <w:rPr>
          <w:spacing w:val="-7"/>
        </w:rPr>
        <w:t xml:space="preserve">performance </w:t>
      </w:r>
      <w:r>
        <w:rPr>
          <w:spacing w:val="-4"/>
        </w:rPr>
        <w:t xml:space="preserve">are for </w:t>
      </w:r>
      <w:r>
        <w:rPr>
          <w:spacing w:val="-7"/>
        </w:rPr>
        <w:t xml:space="preserve">reference </w:t>
      </w:r>
      <w:r>
        <w:rPr>
          <w:spacing w:val="-6"/>
        </w:rPr>
        <w:t xml:space="preserve">only. </w:t>
      </w:r>
      <w:r>
        <w:rPr>
          <w:spacing w:val="-7"/>
        </w:rPr>
        <w:t xml:space="preserve">Customers </w:t>
      </w:r>
      <w:r>
        <w:rPr>
          <w:spacing w:val="-4"/>
        </w:rPr>
        <w:t xml:space="preserve">can </w:t>
      </w:r>
      <w:r>
        <w:rPr>
          <w:spacing w:val="-6"/>
        </w:rPr>
        <w:t xml:space="preserve">confirm their </w:t>
      </w:r>
      <w:r>
        <w:rPr>
          <w:spacing w:val="-4"/>
        </w:rPr>
        <w:t xml:space="preserve">own </w:t>
      </w:r>
      <w:r>
        <w:rPr>
          <w:spacing w:val="-7"/>
        </w:rPr>
        <w:t xml:space="preserve">formula </w:t>
      </w:r>
      <w:r>
        <w:rPr>
          <w:spacing w:val="-4"/>
        </w:rPr>
        <w:t xml:space="preserve">and </w:t>
      </w:r>
      <w:r>
        <w:rPr>
          <w:spacing w:val="-6"/>
        </w:rPr>
        <w:t xml:space="preserve">achieve physical property </w:t>
      </w:r>
      <w:r>
        <w:rPr>
          <w:spacing w:val="-5"/>
        </w:rPr>
        <w:t xml:space="preserve">data </w:t>
      </w:r>
      <w:r>
        <w:rPr>
          <w:spacing w:val="-7"/>
        </w:rPr>
        <w:t xml:space="preserve">according </w:t>
      </w:r>
      <w:r>
        <w:rPr>
          <w:spacing w:val="-3"/>
        </w:rPr>
        <w:t xml:space="preserve">to </w:t>
      </w:r>
      <w:r>
        <w:rPr>
          <w:spacing w:val="-6"/>
        </w:rPr>
        <w:t xml:space="preserve">their </w:t>
      </w:r>
      <w:r>
        <w:rPr>
          <w:spacing w:val="-4"/>
        </w:rPr>
        <w:t xml:space="preserve">own </w:t>
      </w:r>
      <w:r>
        <w:rPr>
          <w:spacing w:val="-6"/>
        </w:rPr>
        <w:t>needs.</w:t>
      </w:r>
    </w:p>
    <w:p>
      <w:pPr>
        <w:pStyle w:val="2"/>
        <w:spacing w:before="2" w:line="242" w:lineRule="auto"/>
        <w:ind w:left="700" w:right="219"/>
      </w:pPr>
      <w:r>
        <w:rPr>
          <w:spacing w:val="-6"/>
        </w:rPr>
        <w:t>This</w:t>
      </w:r>
      <w:r>
        <w:rPr>
          <w:spacing w:val="-21"/>
        </w:rPr>
        <w:t xml:space="preserve"> </w:t>
      </w:r>
      <w:r>
        <w:rPr>
          <w:spacing w:val="-7"/>
        </w:rPr>
        <w:t>product</w:t>
      </w:r>
      <w:r>
        <w:rPr>
          <w:spacing w:val="-15"/>
        </w:rPr>
        <w:t xml:space="preserve"> </w:t>
      </w:r>
      <w:r>
        <w:rPr>
          <w:spacing w:val="-7"/>
        </w:rPr>
        <w:t>should</w:t>
      </w:r>
      <w:r>
        <w:rPr>
          <w:spacing w:val="-19"/>
        </w:rPr>
        <w:t xml:space="preserve"> </w:t>
      </w:r>
      <w:r>
        <w:rPr>
          <w:spacing w:val="-3"/>
        </w:rPr>
        <w:t>be</w:t>
      </w:r>
      <w:r>
        <w:rPr>
          <w:spacing w:val="-20"/>
        </w:rPr>
        <w:t xml:space="preserve"> </w:t>
      </w:r>
      <w:r>
        <w:rPr>
          <w:spacing w:val="-6"/>
        </w:rPr>
        <w:t>used</w:t>
      </w:r>
      <w:r>
        <w:rPr>
          <w:spacing w:val="-16"/>
        </w:rPr>
        <w:t xml:space="preserve"> </w:t>
      </w:r>
      <w:r>
        <w:rPr>
          <w:spacing w:val="-6"/>
        </w:rPr>
        <w:t>with</w:t>
      </w:r>
      <w:r>
        <w:rPr>
          <w:spacing w:val="-18"/>
        </w:rPr>
        <w:t xml:space="preserve"> </w:t>
      </w:r>
      <w:r>
        <w:rPr>
          <w:spacing w:val="-7"/>
        </w:rPr>
        <w:t>caution</w:t>
      </w:r>
      <w:r>
        <w:rPr>
          <w:spacing w:val="-17"/>
        </w:rPr>
        <w:t xml:space="preserve"> </w:t>
      </w:r>
      <w:r>
        <w:rPr>
          <w:spacing w:val="-5"/>
        </w:rPr>
        <w:t>and</w:t>
      </w:r>
      <w:r>
        <w:rPr>
          <w:spacing w:val="-16"/>
        </w:rPr>
        <w:t xml:space="preserve"> </w:t>
      </w:r>
      <w:r>
        <w:rPr>
          <w:spacing w:val="-3"/>
        </w:rPr>
        <w:t>in</w:t>
      </w:r>
      <w:r>
        <w:rPr>
          <w:spacing w:val="-20"/>
        </w:rPr>
        <w:t xml:space="preserve"> </w:t>
      </w:r>
      <w:r>
        <w:rPr>
          <w:spacing w:val="-8"/>
        </w:rPr>
        <w:t>accordance</w:t>
      </w:r>
      <w:r>
        <w:rPr>
          <w:spacing w:val="-17"/>
        </w:rPr>
        <w:t xml:space="preserve"> </w:t>
      </w:r>
      <w:r>
        <w:rPr>
          <w:spacing w:val="-6"/>
        </w:rPr>
        <w:t>with</w:t>
      </w:r>
      <w:r>
        <w:rPr>
          <w:spacing w:val="-18"/>
        </w:rPr>
        <w:t xml:space="preserve"> </w:t>
      </w:r>
      <w:r>
        <w:rPr>
          <w:spacing w:val="-5"/>
        </w:rPr>
        <w:t>the</w:t>
      </w:r>
      <w:r>
        <w:rPr>
          <w:spacing w:val="-20"/>
        </w:rPr>
        <w:t xml:space="preserve"> </w:t>
      </w:r>
      <w:r>
        <w:rPr>
          <w:spacing w:val="-6"/>
        </w:rPr>
        <w:t>laws</w:t>
      </w:r>
      <w:r>
        <w:rPr>
          <w:spacing w:val="-18"/>
        </w:rPr>
        <w:t xml:space="preserve"> </w:t>
      </w:r>
      <w:r>
        <w:rPr>
          <w:spacing w:val="-3"/>
        </w:rPr>
        <w:t>of</w:t>
      </w:r>
      <w:r>
        <w:rPr>
          <w:spacing w:val="-19"/>
        </w:rPr>
        <w:t xml:space="preserve"> </w:t>
      </w:r>
      <w:r>
        <w:rPr>
          <w:spacing w:val="-5"/>
        </w:rPr>
        <w:t xml:space="preserve">the </w:t>
      </w:r>
      <w:r>
        <w:rPr>
          <w:spacing w:val="-8"/>
        </w:rPr>
        <w:t xml:space="preserve">relevant </w:t>
      </w:r>
      <w:r>
        <w:rPr>
          <w:spacing w:val="-7"/>
        </w:rPr>
        <w:t xml:space="preserve">region </w:t>
      </w:r>
      <w:r>
        <w:rPr>
          <w:spacing w:val="-3"/>
        </w:rPr>
        <w:t xml:space="preserve">or </w:t>
      </w:r>
      <w:r>
        <w:rPr>
          <w:spacing w:val="-7"/>
        </w:rPr>
        <w:t xml:space="preserve">country.It </w:t>
      </w:r>
      <w:r>
        <w:t>is not recommended to use on critical components of medical equipment in direct contact with the human body for extended periods of</w:t>
      </w:r>
      <w:r>
        <w:rPr>
          <w:spacing w:val="-3"/>
        </w:rPr>
        <w:t xml:space="preserve"> </w:t>
      </w:r>
      <w:r>
        <w:t>time.</w:t>
      </w:r>
    </w:p>
    <w:sectPr>
      <w:pgSz w:w="11910" w:h="16840"/>
      <w:pgMar w:top="2220" w:right="1640" w:bottom="1140" w:left="1580" w:header="1014" w:footer="95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49" o:spid="_x0000_s2049" o:spt="202" type="#_x0000_t202" style="position:absolute;left:0pt;margin-left:482.2pt;margin-top:783.15pt;height:13.6pt;width:16.3pt;mso-position-horizontal-relative:page;mso-position-vertical-relative:page;z-index:-251786240;mso-width-relative:page;mso-height-relative:page;" filled="f" stroked="f" coordsize="21600,21600">
          <v:path/>
          <v:fill on="f" focussize="0,0"/>
          <v:stroke on="f" joinstyle="miter"/>
          <v:imagedata o:title=""/>
          <o:lock v:ext="edit"/>
          <v:textbox inset="0mm,0mm,0mm,0mm">
            <w:txbxContent>
              <w:p>
                <w:pPr>
                  <w:spacing w:before="0" w:line="265" w:lineRule="exact"/>
                  <w:ind w:left="40" w:right="0" w:firstLine="0"/>
                  <w:jc w:val="left"/>
                  <w:rPr>
                    <w:rFonts w:ascii="Times New Roman"/>
                    <w:sz w:val="21"/>
                  </w:rPr>
                </w:pPr>
                <w:r>
                  <w:fldChar w:fldCharType="begin"/>
                </w:r>
                <w:r>
                  <w:rPr>
                    <w:rFonts w:ascii="宋体"/>
                    <w:sz w:val="21"/>
                  </w:rPr>
                  <w:instrText xml:space="preserve"> PAGE </w:instrText>
                </w:r>
                <w:r>
                  <w:fldChar w:fldCharType="separate"/>
                </w:r>
                <w:r>
                  <w:t>1</w:t>
                </w:r>
                <w:r>
                  <w:fldChar w:fldCharType="end"/>
                </w:r>
                <w:r>
                  <w:rPr>
                    <w:rFonts w:ascii="Times New Roman"/>
                    <w:sz w:val="21"/>
                  </w:rPr>
                  <w:t>/2</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drawing>
        <wp:anchor distT="0" distB="0" distL="0" distR="0" simplePos="0" relativeHeight="251529216" behindDoc="1" locked="0" layoutInCell="1" allowOverlap="1">
          <wp:simplePos x="0" y="0"/>
          <wp:positionH relativeFrom="page">
            <wp:posOffset>1066800</wp:posOffset>
          </wp:positionH>
          <wp:positionV relativeFrom="page">
            <wp:posOffset>643890</wp:posOffset>
          </wp:positionV>
          <wp:extent cx="5459730" cy="7772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5459969" cy="77696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0"/>
      <w:numFmt w:val="bullet"/>
      <w:lvlText w:val="●"/>
      <w:lvlJc w:val="left"/>
      <w:pPr>
        <w:ind w:left="220" w:hanging="267"/>
      </w:pPr>
      <w:rPr>
        <w:rFonts w:hint="default" w:ascii="Times New Roman" w:hAnsi="Times New Roman" w:eastAsia="Times New Roman" w:cs="Times New Roman"/>
        <w:spacing w:val="-2"/>
        <w:w w:val="100"/>
        <w:sz w:val="24"/>
        <w:szCs w:val="24"/>
        <w:lang w:val="en-US" w:eastAsia="en-US" w:bidi="en-US"/>
      </w:rPr>
    </w:lvl>
    <w:lvl w:ilvl="1" w:tentative="0">
      <w:start w:val="0"/>
      <w:numFmt w:val="bullet"/>
      <w:lvlText w:val="•"/>
      <w:lvlJc w:val="left"/>
      <w:pPr>
        <w:ind w:left="1067" w:hanging="267"/>
      </w:pPr>
      <w:rPr>
        <w:rFonts w:hint="default"/>
        <w:lang w:val="en-US" w:eastAsia="en-US" w:bidi="en-US"/>
      </w:rPr>
    </w:lvl>
    <w:lvl w:ilvl="2" w:tentative="0">
      <w:start w:val="0"/>
      <w:numFmt w:val="bullet"/>
      <w:lvlText w:val="•"/>
      <w:lvlJc w:val="left"/>
      <w:pPr>
        <w:ind w:left="1914" w:hanging="267"/>
      </w:pPr>
      <w:rPr>
        <w:rFonts w:hint="default"/>
        <w:lang w:val="en-US" w:eastAsia="en-US" w:bidi="en-US"/>
      </w:rPr>
    </w:lvl>
    <w:lvl w:ilvl="3" w:tentative="0">
      <w:start w:val="0"/>
      <w:numFmt w:val="bullet"/>
      <w:lvlText w:val="•"/>
      <w:lvlJc w:val="left"/>
      <w:pPr>
        <w:ind w:left="2761" w:hanging="267"/>
      </w:pPr>
      <w:rPr>
        <w:rFonts w:hint="default"/>
        <w:lang w:val="en-US" w:eastAsia="en-US" w:bidi="en-US"/>
      </w:rPr>
    </w:lvl>
    <w:lvl w:ilvl="4" w:tentative="0">
      <w:start w:val="0"/>
      <w:numFmt w:val="bullet"/>
      <w:lvlText w:val="•"/>
      <w:lvlJc w:val="left"/>
      <w:pPr>
        <w:ind w:left="3608" w:hanging="267"/>
      </w:pPr>
      <w:rPr>
        <w:rFonts w:hint="default"/>
        <w:lang w:val="en-US" w:eastAsia="en-US" w:bidi="en-US"/>
      </w:rPr>
    </w:lvl>
    <w:lvl w:ilvl="5" w:tentative="0">
      <w:start w:val="0"/>
      <w:numFmt w:val="bullet"/>
      <w:lvlText w:val="•"/>
      <w:lvlJc w:val="left"/>
      <w:pPr>
        <w:ind w:left="4455" w:hanging="267"/>
      </w:pPr>
      <w:rPr>
        <w:rFonts w:hint="default"/>
        <w:lang w:val="en-US" w:eastAsia="en-US" w:bidi="en-US"/>
      </w:rPr>
    </w:lvl>
    <w:lvl w:ilvl="6" w:tentative="0">
      <w:start w:val="0"/>
      <w:numFmt w:val="bullet"/>
      <w:lvlText w:val="•"/>
      <w:lvlJc w:val="left"/>
      <w:pPr>
        <w:ind w:left="5302" w:hanging="267"/>
      </w:pPr>
      <w:rPr>
        <w:rFonts w:hint="default"/>
        <w:lang w:val="en-US" w:eastAsia="en-US" w:bidi="en-US"/>
      </w:rPr>
    </w:lvl>
    <w:lvl w:ilvl="7" w:tentative="0">
      <w:start w:val="0"/>
      <w:numFmt w:val="bullet"/>
      <w:lvlText w:val="•"/>
      <w:lvlJc w:val="left"/>
      <w:pPr>
        <w:ind w:left="6149" w:hanging="267"/>
      </w:pPr>
      <w:rPr>
        <w:rFonts w:hint="default"/>
        <w:lang w:val="en-US" w:eastAsia="en-US" w:bidi="en-US"/>
      </w:rPr>
    </w:lvl>
    <w:lvl w:ilvl="8" w:tentative="0">
      <w:start w:val="0"/>
      <w:numFmt w:val="bullet"/>
      <w:lvlText w:val="•"/>
      <w:lvlJc w:val="left"/>
      <w:pPr>
        <w:ind w:left="6996" w:hanging="267"/>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64B01A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en-US"/>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Cambria" w:hAnsi="Cambria" w:eastAsia="Cambria" w:cs="Cambria"/>
      <w:sz w:val="24"/>
      <w:szCs w:val="24"/>
      <w:lang w:val="en-US" w:eastAsia="en-US" w:bidi="en-US"/>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4"/>
      <w:ind w:left="966" w:hanging="267"/>
    </w:pPr>
    <w:rPr>
      <w:rFonts w:ascii="Cambria" w:hAnsi="Cambria" w:eastAsia="Cambria" w:cs="Cambria"/>
      <w:lang w:val="en-US" w:eastAsia="en-US" w:bidi="en-US"/>
    </w:rPr>
  </w:style>
  <w:style w:type="paragraph" w:customStyle="1" w:styleId="7">
    <w:name w:val="Table Paragraph"/>
    <w:basedOn w:val="1"/>
    <w:qFormat/>
    <w:uiPriority w:val="1"/>
    <w:pPr>
      <w:spacing w:before="16"/>
      <w:ind w:left="130"/>
    </w:pPr>
    <w:rPr>
      <w:rFonts w:ascii="Cambria" w:hAnsi="Cambria" w:eastAsia="Cambria" w:cs="Cambria"/>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2021-09-17T08:51:00Z</dcterms:created>
  <dc:creator>Hunter</dc:creator>
  <cp:lastModifiedBy>Hunter</cp:lastModifiedBy>
  <dcterms:modified xsi:type="dcterms:W3CDTF">2021-09-17T08:51:34Z</dcterms:modified>
  <dc:title>Shanghai King Chemical Co,.Ltd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WPS 文字</vt:lpwstr>
  </property>
  <property fmtid="{D5CDD505-2E9C-101B-9397-08002B2CF9AE}" pid="4" name="LastSaved">
    <vt:filetime>2021-09-17T00:00:00Z</vt:filetime>
  </property>
  <property fmtid="{D5CDD505-2E9C-101B-9397-08002B2CF9AE}" pid="5" name="KSOProductBuildVer">
    <vt:lpwstr>2052-11.1.0.10314</vt:lpwstr>
  </property>
</Properties>
</file>